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64</w:t>
      </w:r>
    </w:p>
    <w:p>
      <w:r>
        <w:t>Bundesgericht (BGE), 1972-08-25, DE</w:t>
      </w:r>
    </w:p>
    <w:p>
      <w:r>
        <w:rPr>
          <w:b/>
        </w:rPr>
        <w:t xml:space="preserve">Quelle: </w:t>
      </w:r>
      <w:r>
        <w:t>https://mcp.opencaselaw.ch/entscheid/bge_98 III 64</w:t>
      </w:r>
    </w:p>
    <w:p>
      <w:r>
        <w:t>FR: ATF 98 III 64</w:t>
      </w:r>
    </w:p>
    <w:p>
      <w:r>
        <w:t>IT: DTF 98 III 64</w:t>
      </w:r>
    </w:p>
    <w:p>
      <w:pPr>
        <w:pStyle w:val="Heading2"/>
      </w:pPr>
      <w:r>
        <w:t>Regeste</w:t>
      </w:r>
    </w:p>
    <w:p>
      <w:r>
        <w:t>Regeste Aufhebung eines Steigerungszuschlages. Ein nichtiger Steigerungszuschlag ist grundsätzlich ohne Rücksicht auf die Einhaltung der Beschwerdefrist von Amtes wegen aufzuheben, es sei denn, er könne nicht mehr rückgängig gemacht werden, weil der Erlös aus der Steigerung bereits verteilt worden ist.</w:t>
      </w:r>
    </w:p>
    <w:p>
      <w:pPr>
        <w:pStyle w:val="Heading2"/>
      </w:pPr>
      <w:r>
        <w:t>Erwägungen</w:t>
      </w:r>
    </w:p>
    <w:p>
      <w:r>
        <w:rPr>
          <w:b/>
        </w:rPr>
        <w:t>E. 1</w:t>
      </w:r>
    </w:p>
    <w:p>
      <w:r>
        <w:t>Mit dem Rekursantrag wird verlangt, das Betreibungsamt habe die retinierten und in der Folge verwerteten Gegenstände der Rekurrentin zu unbeschwertem Eigentum herauszugeben bzw. zurückzubeschaffen. Die Rückbeschaffung und Herausgabe dieser Gegenstände ist rechtlich jedoch nicht möglich, ohne dass vorgängig der Steigerungszuschlag beseitigt wird. Der Rekursantrag könnte daher in der vorliegenden Fassung nicht geschützt werden. In Frage käme höchstens die Aufhebung des Steigerungszuschlages bezüglich der verwerteten Gegenstände, was unter gewissen Bedingungen auch noch nach Ablauf der Beschwerdefrist möglich ist (vgl. BGE 73 III 23 ff. und BGE 98 III 57 ff.). Es ist deshalb zugunsten der Rekurrentin davon auszugehen, ihr Rekursantrag sei in dem Sinne zu verstehen, dass sie die Aufhebung der Zuschläge der versteigerten Gegenstände verlange.</w:t>
      </w:r>
    </w:p>
    <w:p>
      <w:r>
        <w:rPr>
          <w:b/>
        </w:rPr>
        <w:t>E. 2</w:t>
      </w:r>
    </w:p>
    <w:p>
      <w:r>
        <w:t>Der kantonalen Aufsichtsbehörde ist beizupflichten, dass das Betreibungsamt die Bestimmungen über das Widerspruchsverfahren missachtet hat, indem es der Eigentumsansprache BGE 98 III 64 S. 66 der Rekurrentin an den retinierten Gegenständen nicht die in Art. 106 und 107 SchKG vorgesehene Folge gab. Die Rekurrentin kam somit nicht in die Lage, im Falle des Festhaltens der Gläubigerin an der Retention Klage auf Aberkennung des Retentionsrechts zu erheben. Die Vorinstanz hat indessen angenommen, die Rekurrentin habe ihr Beschwerderecht verwirkt, weil sie nicht glaubhaft dargetan habe, dass sie erst am 24. April 1972 von der Retention und der Versteigerung Kenntnis erhalten habe. In diesem Zusammenhang hätte die Aufsichtsbehörde immerhin prüfen sollen, ob die Nichtbeachtung der Vorschriften über das Widerspruchsverfahren nicht allenfalls zur Nichtigkeit des weiteren Betreibungsverfahrens und insbesondere der Versteigerung geführt haben könnte. Bei Nichtigkeit wäre der Steigerungszuschlag grundsätzlich ohne Rücksicht auf die Einhaltung der Beschwerdefrist von Amtes wegen aufzuheben ( BGE 97 III 96 Erw. 2). Doch wäre die Aufhebung des Zuschlags auch dann nur möglich, wenn er noch rückgängig gemacht werden könnte ( Art. 21 SchKG ; BGE 94 III 71 mit Verweisungen, BGE 96 III 105 und BGE 98 III 62 ). Gemäss Art. 107 Abs. 4 SchKG kann ein Dritter, der nicht in die Lage gesetzt wurde, nach Massgabe der Bestimmungen über das Widerspruchsverfahren vorzugehen, einen Anspruch an der gepfändeten Sache oder an deren Erlös geltend machen, solange dieser nicht verteilt ist. Aus dieser Bestimmung ergibt sich durch Umkehrschluss mit aller Deutlichkeit, dass es jedenfalls nach der Verteilung des Erlöses für einen Dritten ausgeschlossen sein soll, die Aufhebung des Steigerungszuschlags zu verlangen oder auf den Erlös Anspruch zu erheben. Unter diesen Umständen kann die Rekurrentin ihren Anspruch auf die verwerteten Gegenstände bzw. deren Erlös auf keinen Fall durchsetzen; es kann somit offen bleiben, ob sie das Beschwerderecht verwirkt habe oder nicht. Da sie durch ein Versäumnis des Betreibungsamtes nicht in die Lage versetzt wurde, Widerspruchsklage zu erheben, bleibt ihr allenfalls die Möglichkeit, gegen den verantwortlichen Beamten vorzugehen und von diesem den Ersatz des ihr erwachsenen Schadens zu verlangen. Gemäss Art. 5 SchKG und nach feststehender Rechtsprechung ( BGE 59 III 186 /187) hätte dies aber durch Klage beim zuständigen Gericht und nicht auf dem Beschwerdeweg zu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